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-91438</wp:posOffset>
                </wp:positionH>
                <wp:positionV relativeFrom="paragraph">
                  <wp:posOffset>438784</wp:posOffset>
                </wp:positionV>
                <wp:extent cx="6396355" cy="708025"/>
                <wp:effectExtent b="0" l="0" r="4445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6355" cy="708025"/>
                          <a:chOff x="0" y="0"/>
                          <a:chExt cx="6396355" cy="708025"/>
                        </a:xfrm>
                      </wpg:grpSpPr>
                      <pic:pic>
                        <pic:nvPicPr>
                          <pic:cNvPr descr="Immagine che contiene testo, Carattere, logo, Elementi grafici&#10;&#10;Il contenuto generato dall'IA potrebbe non essere corretto." id="353345972" name="Immagin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/>
                          <a:srcRect b="18503" l="-1475" r="5873" t="22467"/>
                          <a:stretch/>
                        </pic:blipFill>
                        <pic:spPr bwMode="auto">
                          <a:xfrm>
                            <a:off x="4488180" y="106680"/>
                            <a:ext cx="1908175" cy="464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/>
                          </a:extLst>
                        </pic:spPr>
                      </pic:pic>
                      <pic:pic>
                        <pic:nvPicPr>
                          <pic:cNvPr descr="Immagine che contiene testo, Carattere, schermata, Blu elettrico&#10;&#10;Il contenuto generato dall'IA potrebbe non essere corretto." id="1854553042" name="Immagin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/>
                          <a:srcRect r="45695"/>
                          <a:stretch/>
                        </pic:blipFill>
                        <pic:spPr bwMode="auto">
                          <a:xfrm>
                            <a:off x="0" y="0"/>
                            <a:ext cx="2819400" cy="685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/>
                          </a:extLst>
                        </pic:spPr>
                      </pic:pic>
                      <pic:pic>
                        <pic:nvPicPr>
                          <pic:cNvPr descr="Immagine che contiene testo, Carattere, schermata, Blu elettrico&#10;&#10;Il contenuto generato dall'IA potrebbe non essere corretto." id="289412137" name="Immagin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/>
                          <a:srcRect l="73532"/>
                          <a:stretch/>
                        </pic:blipFill>
                        <pic:spPr bwMode="auto">
                          <a:xfrm>
                            <a:off x="3032760" y="22860"/>
                            <a:ext cx="1374140" cy="685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/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-91438</wp:posOffset>
                </wp:positionH>
                <wp:positionV relativeFrom="paragraph">
                  <wp:posOffset>438784</wp:posOffset>
                </wp:positionV>
                <wp:extent cx="6400800" cy="708025"/>
                <wp:effectExtent b="0" l="0" r="0" t="0"/>
                <wp:wrapSquare wrapText="bothSides" distB="0" distT="0" distL="114300" distR="114300"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0" cy="708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b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b w:val="1"/>
          <w:color w:val="2f5496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b w:val="1"/>
          <w:color w:val="2f5496"/>
          <w:sz w:val="32"/>
          <w:szCs w:val="32"/>
          <w:rtl w:val="0"/>
        </w:rPr>
        <w:t xml:space="preserve">Let’s  meet in Europe…with Erasmus +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L’I.C. “De Amicis-Majorana” è lieta di annunciare l’inizio di una grande avventura relativa al programmaErasmus*- Azione Chiave 1 -Progetti di mobilità nell'ambito dell’Istruzione Scolastica - Progetto Azione Chiave 1 Progetti di mobilità nell'ambito dell’Istruzione Scolastica –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2024-1-IT02-KA122-SCH-000215246-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Titolo progetto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ee0000"/>
          <w:sz w:val="28"/>
          <w:szCs w:val="28"/>
          <w:rtl w:val="0"/>
        </w:rPr>
        <w:t xml:space="preserve">Ponti tra culture diverse per costruire comunità europee sostenibili”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“ Bridging across different cultures to build sustainable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European communities”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Progetto di mobilità per gli alunni e per il personale scolastico ai fini dell’apprendimento.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-Il progetto mira a connettere luoghi e prospettive storiche diverse in Europa per evidenziare le connessioni tra fenomeni storici,promuovendo la cultura, la riflessione storica e la comprensione del passato comune per aumentare la conoscenza e la tolleranza verso le diverse culture cercando di scambiare buone pratiche per proteggere e valorizzare il patrimonio culturale contro le sfide ambientali, offrendo agli studenti opportunità di migliorare le loro abilità linguistiche e digitali e di ricerca.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-Mira a potenziare la competenza linguistica in inglese e le soft skills tra tutti i partecipanti. Le mobilità offrono vantaggi linguistici e professionali, promuovendo la consapevolezza di cittadinanza globale, la tolleranza e sensibilizzazione verso l'ambiente. L'intera comunità scolastica trarrà beneficio da questa esperienza attraverso attività di divulgazione.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-Durante la mobilità gli studenti miglioreranno le competenze linguistiche comunicative seguendo le lezioni della scuola ospitante e presentando reciprocamente i prodotti realizzati usando gli strumenti digitali . I docenti coinvolti con la diffusione dei risultati del progetto porteranno una positiva visibilità all'esterno. Le attività implementate saranno legate a manifestazioni nazionali ed europee come la giornata internazionale dei monumenti e siti di interesse e la giornata dell'Europa.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0" distT="0" distL="0" distR="0">
            <wp:extent cx="6120130" cy="8657590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75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header" Target="header1.xml"/><Relationship Id="rId9" Type="http://schemas.openxmlformats.org/officeDocument/2006/relationships/image" Target="media/image5.pn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